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CFE90C3" w:rsidR="00F23FC9" w:rsidRPr="003F6148" w:rsidRDefault="00F23FC9" w:rsidP="00F23FC9">
      <w:pPr>
        <w:spacing w:before="240"/>
        <w:jc w:val="center"/>
        <w:rPr>
          <w:rFonts w:ascii="Arial" w:hAnsi="Arial" w:cs="Arial"/>
          <w:b/>
          <w:bCs/>
          <w:caps/>
          <w:color w:val="214F87"/>
          <w:sz w:val="44"/>
          <w:szCs w:val="44"/>
        </w:rPr>
      </w:pPr>
      <w:r w:rsidRPr="003F6148">
        <w:rPr>
          <w:rFonts w:ascii="Arial" w:hAnsi="Arial" w:cs="Arial"/>
          <w:b/>
          <w:bCs/>
          <w:caps/>
          <w:color w:val="214F87"/>
          <w:sz w:val="44"/>
          <w:szCs w:val="44"/>
        </w:rPr>
        <w:t xml:space="preserve">PŘÍLOHA </w:t>
      </w:r>
      <w:r w:rsidR="000F6082" w:rsidRPr="003F6148">
        <w:rPr>
          <w:rFonts w:ascii="Arial" w:hAnsi="Arial" w:cs="Arial"/>
          <w:b/>
          <w:bCs/>
          <w:caps/>
          <w:color w:val="214F87"/>
          <w:sz w:val="44"/>
          <w:szCs w:val="44"/>
        </w:rPr>
        <w:t>3</w:t>
      </w:r>
      <w:r w:rsidR="003F6148" w:rsidRPr="003F6148">
        <w:rPr>
          <w:rFonts w:ascii="Arial" w:hAnsi="Arial" w:cs="Arial"/>
          <w:b/>
          <w:bCs/>
          <w:caps/>
          <w:color w:val="214F87"/>
          <w:sz w:val="44"/>
          <w:szCs w:val="44"/>
        </w:rPr>
        <w:t>B</w:t>
      </w:r>
    </w:p>
    <w:p w14:paraId="3D6858A4" w14:textId="1F0D592F" w:rsidR="0068431B" w:rsidRPr="003F6148" w:rsidRDefault="009E586F" w:rsidP="002F624E">
      <w:pPr>
        <w:spacing w:before="240" w:line="276" w:lineRule="auto"/>
        <w:jc w:val="center"/>
        <w:rPr>
          <w:rFonts w:ascii="Arial" w:hAnsi="Arial" w:cs="Arial"/>
          <w:b/>
          <w:color w:val="214F87"/>
          <w:sz w:val="44"/>
          <w:szCs w:val="44"/>
        </w:rPr>
      </w:pPr>
      <w:r w:rsidRPr="003F6148">
        <w:rPr>
          <w:rFonts w:ascii="Arial" w:hAnsi="Arial" w:cs="Arial"/>
          <w:b/>
          <w:bCs/>
          <w:caps/>
          <w:color w:val="214F87"/>
          <w:sz w:val="44"/>
          <w:szCs w:val="44"/>
        </w:rPr>
        <w:t xml:space="preserve">PodMÍNKY </w:t>
      </w:r>
      <w:r w:rsidR="00F23FC9" w:rsidRPr="003F6148">
        <w:rPr>
          <w:rFonts w:ascii="Arial" w:hAnsi="Arial" w:cs="Arial"/>
          <w:b/>
          <w:bCs/>
          <w:caps/>
          <w:color w:val="214F87"/>
          <w:sz w:val="44"/>
          <w:szCs w:val="44"/>
        </w:rPr>
        <w:t>Rozhodnutí o poskytnutí dotace</w:t>
      </w:r>
      <w:r w:rsidRPr="003F6148">
        <w:rPr>
          <w:rFonts w:ascii="Arial" w:hAnsi="Arial" w:cs="Arial"/>
          <w:b/>
          <w:bCs/>
          <w:caps/>
          <w:color w:val="214F87"/>
          <w:sz w:val="44"/>
          <w:szCs w:val="44"/>
        </w:rPr>
        <w:t xml:space="preserve"> </w:t>
      </w:r>
      <w:r w:rsidR="0068431B" w:rsidRPr="003F6148">
        <w:rPr>
          <w:rFonts w:ascii="Arial" w:hAnsi="Arial" w:cs="Arial"/>
          <w:b/>
          <w:bCs/>
          <w:caps/>
          <w:color w:val="214F87"/>
          <w:sz w:val="44"/>
          <w:szCs w:val="44"/>
        </w:rPr>
        <w:t>pro PO OSS</w:t>
      </w:r>
    </w:p>
    <w:p w14:paraId="3913D93F" w14:textId="096D489F" w:rsidR="00F077FA" w:rsidRPr="003F6148" w:rsidRDefault="00F077FA">
      <w:pPr>
        <w:pStyle w:val="Zkladnodstavec"/>
        <w:rPr>
          <w:rFonts w:ascii="Arial" w:hAnsi="Arial" w:cs="Arial"/>
          <w:b/>
          <w:bCs/>
          <w:caps/>
          <w:color w:val="214F87"/>
        </w:rPr>
      </w:pPr>
    </w:p>
    <w:p w14:paraId="453DEFC0" w14:textId="77777777" w:rsidR="00134F22" w:rsidRPr="003F6148" w:rsidRDefault="00134F22" w:rsidP="00134F22">
      <w:pPr>
        <w:pStyle w:val="Zkladnodstavec"/>
        <w:spacing w:before="360" w:after="120"/>
        <w:contextualSpacing/>
        <w:jc w:val="center"/>
        <w:rPr>
          <w:rFonts w:ascii="Arial" w:hAnsi="Arial" w:cs="Arial"/>
          <w:color w:val="auto"/>
          <w:sz w:val="36"/>
          <w:szCs w:val="36"/>
        </w:rPr>
      </w:pPr>
      <w:r w:rsidRPr="003F6148">
        <w:rPr>
          <w:rFonts w:ascii="Arial" w:hAnsi="Arial" w:cs="Arial"/>
          <w:caps/>
          <w:color w:val="auto"/>
          <w:sz w:val="36"/>
          <w:szCs w:val="36"/>
        </w:rPr>
        <w:t xml:space="preserve">33. výzva IROP </w:t>
      </w:r>
      <w:r w:rsidRPr="003F6148">
        <w:rPr>
          <w:rFonts w:ascii="Arial" w:hAnsi="Arial" w:cs="Arial"/>
          <w:color w:val="auto"/>
          <w:sz w:val="36"/>
          <w:szCs w:val="36"/>
        </w:rPr>
        <w:t xml:space="preserve">– MUZEA – SC </w:t>
      </w:r>
      <w:r w:rsidRPr="003F6148">
        <w:rPr>
          <w:rFonts w:ascii="Arial" w:hAnsi="Arial" w:cs="Arial"/>
          <w:sz w:val="36"/>
          <w:szCs w:val="36"/>
        </w:rPr>
        <w:t>4.4</w:t>
      </w:r>
      <w:r w:rsidRPr="003F6148">
        <w:rPr>
          <w:rFonts w:ascii="Arial" w:hAnsi="Arial" w:cs="Arial"/>
          <w:color w:val="auto"/>
          <w:sz w:val="36"/>
          <w:szCs w:val="36"/>
        </w:rPr>
        <w:t xml:space="preserve"> (MRR)</w:t>
      </w:r>
    </w:p>
    <w:p w14:paraId="742377AE" w14:textId="77777777" w:rsidR="00134F22" w:rsidRPr="008C2C98" w:rsidRDefault="00134F22" w:rsidP="00134F22">
      <w:pPr>
        <w:pStyle w:val="Zkladnodstavec"/>
        <w:spacing w:before="360" w:after="120"/>
        <w:contextualSpacing/>
        <w:jc w:val="center"/>
        <w:rPr>
          <w:rFonts w:ascii="Arial" w:hAnsi="Arial" w:cs="Arial"/>
          <w:caps/>
          <w:color w:val="auto"/>
          <w:sz w:val="36"/>
          <w:szCs w:val="36"/>
        </w:rPr>
      </w:pPr>
      <w:r w:rsidRPr="003F6148">
        <w:rPr>
          <w:rFonts w:ascii="Arial" w:hAnsi="Arial" w:cs="Arial"/>
          <w:caps/>
          <w:color w:val="auto"/>
          <w:sz w:val="36"/>
          <w:szCs w:val="36"/>
        </w:rPr>
        <w:t xml:space="preserve">34. výzva IROP </w:t>
      </w:r>
      <w:r w:rsidRPr="003F6148">
        <w:rPr>
          <w:rFonts w:ascii="Arial" w:hAnsi="Arial" w:cs="Arial"/>
          <w:color w:val="auto"/>
          <w:sz w:val="36"/>
          <w:szCs w:val="36"/>
        </w:rPr>
        <w:t xml:space="preserve">– MUZEA – SC </w:t>
      </w:r>
      <w:r w:rsidRPr="003F6148">
        <w:rPr>
          <w:rFonts w:ascii="Arial" w:hAnsi="Arial" w:cs="Arial"/>
          <w:sz w:val="36"/>
          <w:szCs w:val="36"/>
        </w:rPr>
        <w:t>4.4</w:t>
      </w:r>
      <w:r w:rsidRPr="003F6148">
        <w:rPr>
          <w:rFonts w:ascii="Arial" w:hAnsi="Arial" w:cs="Arial"/>
          <w:color w:val="auto"/>
          <w:sz w:val="36"/>
          <w:szCs w:val="36"/>
        </w:rPr>
        <w:t xml:space="preserve">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005D">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AC28A72" w:rsidR="009132E6" w:rsidRPr="00BB3BC9"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BB3BC9">
              <w:rPr>
                <w:rFonts w:ascii="Arial" w:hAnsi="Arial" w:cs="Arial"/>
                <w:snapToGrid w:val="0"/>
                <w:sz w:val="22"/>
                <w:szCs w:val="22"/>
              </w:rPr>
              <w:t xml:space="preserve">zprávy o realizaci projektu </w:t>
            </w:r>
            <w:bookmarkEnd w:id="8"/>
            <w:r w:rsidRPr="00BB3BC9">
              <w:rPr>
                <w:rFonts w:ascii="Arial" w:hAnsi="Arial" w:cs="Arial"/>
                <w:snapToGrid w:val="0"/>
                <w:sz w:val="22"/>
                <w:szCs w:val="22"/>
              </w:rPr>
              <w:t>prokázat</w:t>
            </w:r>
            <w:r w:rsidR="0074213A" w:rsidRPr="00BB3BC9">
              <w:rPr>
                <w:rFonts w:ascii="Arial" w:hAnsi="Arial" w:cs="Arial"/>
                <w:snapToGrid w:val="0"/>
                <w:sz w:val="22"/>
                <w:szCs w:val="22"/>
              </w:rPr>
              <w:t>,</w:t>
            </w:r>
            <w:r w:rsidRPr="00BB3BC9">
              <w:rPr>
                <w:rFonts w:ascii="Arial" w:hAnsi="Arial" w:cs="Arial"/>
                <w:snapToGrid w:val="0"/>
                <w:sz w:val="22"/>
                <w:szCs w:val="22"/>
              </w:rPr>
              <w:t xml:space="preserve"> že indikátory </w:t>
            </w:r>
            <w:r w:rsidR="00A67B07" w:rsidRPr="00BB3BC9">
              <w:rPr>
                <w:rFonts w:ascii="Arial" w:hAnsi="Arial" w:cs="Arial"/>
                <w:i/>
                <w:iCs/>
                <w:snapToGrid w:val="0"/>
                <w:sz w:val="22"/>
                <w:szCs w:val="22"/>
              </w:rPr>
              <w:t>I. – III.</w:t>
            </w:r>
            <w:r w:rsidR="00A67B07" w:rsidRPr="00BB3BC9">
              <w:rPr>
                <w:rFonts w:ascii="Arial" w:hAnsi="Arial" w:cs="Arial"/>
                <w:snapToGrid w:val="0"/>
                <w:sz w:val="22"/>
                <w:szCs w:val="22"/>
              </w:rPr>
              <w:t xml:space="preserve"> </w:t>
            </w:r>
            <w:r w:rsidRPr="00BB3BC9">
              <w:rPr>
                <w:rFonts w:ascii="Arial" w:hAnsi="Arial" w:cs="Arial"/>
                <w:snapToGrid w:val="0"/>
                <w:sz w:val="22"/>
                <w:szCs w:val="22"/>
              </w:rPr>
              <w:t>byly naplněny v termínu</w:t>
            </w:r>
            <w:r w:rsidR="00925C6E" w:rsidRPr="00BB3BC9">
              <w:rPr>
                <w:rStyle w:val="Znakapoznpodarou"/>
                <w:rFonts w:ascii="Arial" w:hAnsi="Arial" w:cs="Arial"/>
                <w:snapToGrid w:val="0"/>
                <w:sz w:val="22"/>
                <w:szCs w:val="22"/>
              </w:rPr>
              <w:footnoteReference w:id="13"/>
            </w:r>
            <w:r w:rsidRPr="00BB3BC9">
              <w:rPr>
                <w:rFonts w:ascii="Arial" w:hAnsi="Arial" w:cs="Arial"/>
                <w:snapToGrid w:val="0"/>
                <w:sz w:val="22"/>
                <w:szCs w:val="22"/>
              </w:rPr>
              <w:t xml:space="preserve"> a cílové hodnotě uvedené na Rozhodnutí / v MS2021+</w:t>
            </w:r>
            <w:r w:rsidRPr="00BB3BC9">
              <w:rPr>
                <w:rStyle w:val="Znakapoznpodarou"/>
                <w:rFonts w:ascii="Arial" w:hAnsi="Arial" w:cs="Arial"/>
                <w:snapToGrid w:val="0"/>
                <w:sz w:val="22"/>
                <w:szCs w:val="22"/>
              </w:rPr>
              <w:footnoteReference w:id="14"/>
            </w:r>
            <w:r w:rsidRPr="00BB3BC9">
              <w:rPr>
                <w:rFonts w:ascii="Arial" w:hAnsi="Arial" w:cs="Arial"/>
                <w:snapToGrid w:val="0"/>
                <w:sz w:val="22"/>
                <w:szCs w:val="22"/>
              </w:rPr>
              <w:t xml:space="preserve">. </w:t>
            </w:r>
          </w:p>
          <w:p w14:paraId="79F19E53" w14:textId="68455FEF"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 xml:space="preserve">Naplnění </w:t>
            </w:r>
            <w:r w:rsidR="0074213A" w:rsidRPr="00BB3BC9">
              <w:rPr>
                <w:rFonts w:ascii="Arial" w:hAnsi="Arial" w:cs="Arial"/>
                <w:snapToGrid w:val="0"/>
                <w:sz w:val="22"/>
                <w:szCs w:val="22"/>
              </w:rPr>
              <w:t xml:space="preserve">cílové hodnoty </w:t>
            </w:r>
            <w:r w:rsidRPr="00BB3BC9">
              <w:rPr>
                <w:rFonts w:ascii="Arial" w:hAnsi="Arial" w:cs="Arial"/>
                <w:snapToGrid w:val="0"/>
                <w:sz w:val="22"/>
                <w:szCs w:val="22"/>
              </w:rPr>
              <w:t xml:space="preserve">indikátoru </w:t>
            </w:r>
            <w:r w:rsidR="00A67B07" w:rsidRPr="00BB3BC9">
              <w:rPr>
                <w:rFonts w:ascii="Arial" w:hAnsi="Arial" w:cs="Arial"/>
                <w:i/>
                <w:iCs/>
                <w:snapToGrid w:val="0"/>
                <w:sz w:val="22"/>
                <w:szCs w:val="22"/>
              </w:rPr>
              <w:t>IV</w:t>
            </w:r>
            <w:r w:rsidRPr="00BB3BC9">
              <w:rPr>
                <w:rFonts w:ascii="Arial" w:hAnsi="Arial" w:cs="Arial"/>
                <w:i/>
                <w:iCs/>
                <w:snapToGrid w:val="0"/>
                <w:sz w:val="22"/>
                <w:szCs w:val="22"/>
              </w:rPr>
              <w:t>.</w:t>
            </w:r>
            <w:r w:rsidRPr="00BB3BC9">
              <w:rPr>
                <w:rFonts w:ascii="Arial" w:hAnsi="Arial" w:cs="Arial"/>
                <w:snapToGrid w:val="0"/>
                <w:sz w:val="22"/>
                <w:szCs w:val="22"/>
              </w:rPr>
              <w:t xml:space="preserve"> uvedené v MS2021+ je příjemce povinen vykázat při podání první Zprávy o</w:t>
            </w:r>
            <w:r w:rsidR="00AB53F1" w:rsidRPr="00BB3BC9">
              <w:rPr>
                <w:rFonts w:ascii="Arial" w:hAnsi="Arial" w:cs="Arial"/>
                <w:snapToGrid w:val="0"/>
                <w:sz w:val="22"/>
                <w:szCs w:val="22"/>
              </w:rPr>
              <w:t> </w:t>
            </w:r>
            <w:r w:rsidRPr="00BB3BC9">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0C2B6D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08EDF0F7"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907 030 - Počet nově zpřístupněných a zefektivněných podsbírek a fondů</w:t>
            </w:r>
          </w:p>
          <w:p w14:paraId="2B41DB72"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188C623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BB3BC9">
              <w:rPr>
                <w:rFonts w:ascii="Arial" w:hAnsi="Arial" w:cs="Arial"/>
                <w:snapToGrid w:val="0"/>
                <w:sz w:val="22"/>
                <w:szCs w:val="22"/>
                <w:lang w:eastAsia="zh-CN" w:bidi="ar"/>
              </w:rPr>
              <w:t>stanoveného tolerančního pásma (indikátor</w:t>
            </w:r>
            <w:r w:rsidR="00866C89"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0C678D" w:rsidRPr="00BB3BC9">
              <w:rPr>
                <w:rFonts w:ascii="Arial" w:hAnsi="Arial" w:cs="Arial"/>
                <w:snapToGrid w:val="0"/>
                <w:sz w:val="22"/>
                <w:szCs w:val="22"/>
                <w:lang w:eastAsia="zh-CN" w:bidi="ar"/>
              </w:rPr>
              <w:t xml:space="preserve"> a </w:t>
            </w:r>
            <w:r w:rsidR="000C678D" w:rsidRPr="00BB3BC9">
              <w:rPr>
                <w:rFonts w:ascii="Arial" w:hAnsi="Arial" w:cs="Arial"/>
                <w:i/>
                <w:iCs/>
                <w:snapToGrid w:val="0"/>
                <w:sz w:val="22"/>
                <w:szCs w:val="22"/>
                <w:lang w:eastAsia="zh-CN" w:bidi="ar"/>
              </w:rPr>
              <w:t>II</w:t>
            </w:r>
            <w:r w:rsidR="00277403" w:rsidRPr="00BB3BC9">
              <w:rPr>
                <w:rFonts w:ascii="Arial" w:hAnsi="Arial" w:cs="Arial"/>
                <w:i/>
                <w:iCs/>
                <w:snapToGrid w:val="0"/>
                <w:sz w:val="22"/>
                <w:szCs w:val="22"/>
                <w:lang w:eastAsia="zh-CN" w:bidi="ar"/>
              </w:rPr>
              <w:t>.</w:t>
            </w:r>
            <w:r w:rsidRPr="00BB3BC9">
              <w:rPr>
                <w:rFonts w:ascii="Arial" w:hAnsi="Arial" w:cs="Arial"/>
                <w:snapToGrid w:val="0"/>
                <w:sz w:val="22"/>
                <w:szCs w:val="22"/>
                <w:lang w:eastAsia="zh-CN" w:bidi="ar"/>
              </w:rPr>
              <w:t>)</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bude stanovena finanční oprava </w:t>
            </w:r>
            <w:r w:rsidR="009132E6" w:rsidRPr="00BB3BC9">
              <w:rPr>
                <w:rFonts w:ascii="Arial" w:hAnsi="Arial" w:cs="Arial"/>
                <w:snapToGrid w:val="0"/>
                <w:sz w:val="22"/>
                <w:szCs w:val="22"/>
                <w:lang w:eastAsia="zh-CN" w:bidi="ar"/>
              </w:rPr>
              <w:t>v poměrné výši zohledňující dosaženou hodnotu indikátoru</w:t>
            </w:r>
            <w:r w:rsidRPr="00BB3BC9">
              <w:rPr>
                <w:rFonts w:ascii="Arial" w:hAnsi="Arial" w:cs="Arial"/>
                <w:snapToGrid w:val="0"/>
                <w:sz w:val="22"/>
                <w:szCs w:val="22"/>
                <w:lang w:eastAsia="zh-CN" w:bidi="ar"/>
              </w:rPr>
              <w:t xml:space="preserve"> k Rozhodnému datu a cílovou hodnotu indikátoru.</w:t>
            </w:r>
          </w:p>
          <w:p w14:paraId="02A69AF6" w14:textId="7074BE4C"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B3BC9">
              <w:rPr>
                <w:rFonts w:ascii="Arial" w:hAnsi="Arial" w:cs="Arial"/>
                <w:snapToGrid w:val="0"/>
                <w:sz w:val="22"/>
                <w:szCs w:val="22"/>
                <w:lang w:eastAsia="zh-CN" w:bidi="ar"/>
              </w:rPr>
              <w:t>V ostatních případech bude finanční oprava stanovena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dosaženou hodnotu indikátoru k Rozhodnému datu a </w:t>
            </w:r>
            <w:r w:rsidR="009132E6" w:rsidRPr="00BB3BC9">
              <w:rPr>
                <w:rFonts w:ascii="Arial" w:hAnsi="Arial" w:cs="Arial"/>
                <w:snapToGrid w:val="0"/>
                <w:sz w:val="22"/>
                <w:szCs w:val="22"/>
                <w:lang w:eastAsia="zh-CN" w:bidi="ar"/>
              </w:rPr>
              <w:t xml:space="preserve">minimální hranici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případě</w:t>
            </w:r>
            <w:r w:rsidR="009132E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kdy nedojde k naplnění cílové hodnoty u indikátoru:</w:t>
            </w:r>
            <w:r w:rsidR="009132E6" w:rsidRPr="00BB3BC9">
              <w:rPr>
                <w:rFonts w:ascii="Arial" w:hAnsi="Arial" w:cs="Arial"/>
                <w:snapToGrid w:val="0"/>
                <w:sz w:val="22"/>
                <w:szCs w:val="22"/>
              </w:rPr>
              <w:t xml:space="preserve"> </w:t>
            </w:r>
          </w:p>
          <w:p w14:paraId="427BFC86"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29937ECB"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eastAsiaTheme="minorEastAsia" w:hAnsi="Arial" w:cs="Arial"/>
                <w:i/>
                <w:iCs/>
                <w:snapToGrid w:val="0"/>
                <w:sz w:val="22"/>
                <w:szCs w:val="22"/>
                <w:lang w:eastAsia="zh-CN" w:bidi="ar"/>
              </w:rPr>
              <w:t xml:space="preserve">. </w:t>
            </w:r>
            <w:r w:rsidRPr="00BB3BC9">
              <w:rPr>
                <w:rFonts w:ascii="Arial" w:eastAsiaTheme="minorEastAsia" w:hAnsi="Arial" w:cs="Arial"/>
                <w:snapToGrid w:val="0"/>
                <w:sz w:val="22"/>
                <w:szCs w:val="22"/>
                <w:lang w:eastAsia="zh-CN" w:bidi="ar"/>
              </w:rPr>
              <w:t xml:space="preserve">za období </w:t>
            </w:r>
            <w:r w:rsidRPr="00BB3BC9">
              <w:rPr>
                <w:rFonts w:ascii="Arial" w:eastAsiaTheme="minorEastAsia" w:hAnsi="Arial" w:cs="Arial"/>
                <w:sz w:val="22"/>
                <w:szCs w:val="22"/>
              </w:rPr>
              <w:t>prvního roku udržitelnosti</w:t>
            </w:r>
            <w:r w:rsidRPr="00BB3BC9">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B3B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BB3BC9" w:rsidRDefault="00277403" w:rsidP="00277403">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Indikátory:</w:t>
            </w:r>
          </w:p>
          <w:p w14:paraId="57468D1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48A02DB5"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lastRenderedPageBreak/>
              <w:t>907 030 - Počet nově zpřístupněných a zefektivněných podsbírek a fondů</w:t>
            </w:r>
          </w:p>
          <w:p w14:paraId="44065DF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43504F3C"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D921062"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w:t>
            </w:r>
            <w:r w:rsidRPr="00BB3BC9">
              <w:rPr>
                <w:rFonts w:ascii="Arial" w:hAnsi="Arial" w:cs="Arial"/>
                <w:snapToGrid w:val="0"/>
                <w:sz w:val="22"/>
                <w:szCs w:val="22"/>
                <w:lang w:eastAsia="zh-CN" w:bidi="ar"/>
              </w:rPr>
              <w:t>došlo k aplikaci finanční opravy podle bodu 6</w:t>
            </w:r>
            <w:r w:rsidR="009B58A6" w:rsidRPr="00BB3BC9">
              <w:rPr>
                <w:rFonts w:ascii="Arial" w:hAnsi="Arial" w:cs="Arial"/>
                <w:snapToGrid w:val="0"/>
                <w:sz w:val="22"/>
                <w:szCs w:val="22"/>
                <w:lang w:eastAsia="zh-CN" w:bidi="ar"/>
              </w:rPr>
              <w:t xml:space="preserve"> (vyjma indikátoru </w:t>
            </w:r>
            <w:r w:rsidR="00BB3BC9" w:rsidRPr="00BB3BC9">
              <w:rPr>
                <w:rFonts w:ascii="Arial" w:hAnsi="Arial" w:cs="Arial"/>
                <w:i/>
                <w:iCs/>
                <w:snapToGrid w:val="0"/>
                <w:sz w:val="22"/>
                <w:szCs w:val="22"/>
                <w:lang w:eastAsia="zh-CN" w:bidi="ar"/>
              </w:rPr>
              <w:t>IV.</w:t>
            </w:r>
            <w:r w:rsidR="009B58A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a</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u</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indikátorů bez stanoveného tolerančního pásma (indikátor</w:t>
            </w:r>
            <w:r w:rsidR="00351B32"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351B32" w:rsidRPr="00BB3BC9">
              <w:rPr>
                <w:rFonts w:ascii="Arial" w:hAnsi="Arial" w:cs="Arial"/>
                <w:snapToGrid w:val="0"/>
                <w:sz w:val="22"/>
                <w:szCs w:val="22"/>
                <w:lang w:eastAsia="zh-CN" w:bidi="ar"/>
              </w:rPr>
              <w:t xml:space="preserve"> a </w:t>
            </w:r>
            <w:r w:rsidR="00351B32" w:rsidRPr="00BB3BC9">
              <w:rPr>
                <w:rFonts w:ascii="Arial" w:hAnsi="Arial" w:cs="Arial"/>
                <w:i/>
                <w:iCs/>
                <w:snapToGrid w:val="0"/>
                <w:sz w:val="22"/>
                <w:szCs w:val="22"/>
                <w:lang w:eastAsia="zh-CN" w:bidi="ar"/>
              </w:rPr>
              <w:t>II.</w:t>
            </w:r>
            <w:r w:rsidRPr="00BB3BC9">
              <w:rPr>
                <w:rFonts w:ascii="Arial" w:hAnsi="Arial" w:cs="Arial"/>
                <w:snapToGrid w:val="0"/>
                <w:sz w:val="22"/>
                <w:szCs w:val="22"/>
                <w:lang w:eastAsia="zh-CN" w:bidi="ar"/>
              </w:rPr>
              <w:t>)</w:t>
            </w:r>
            <w:r w:rsidR="00156CDA"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bude</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stanovena finanční oprava </w:t>
            </w:r>
            <w:r w:rsidR="009132E6" w:rsidRPr="00BB3BC9">
              <w:rPr>
                <w:rFonts w:ascii="Arial" w:hAnsi="Arial" w:cs="Arial"/>
                <w:snapToGrid w:val="0"/>
                <w:sz w:val="22"/>
                <w:szCs w:val="22"/>
                <w:lang w:eastAsia="zh-CN" w:bidi="ar"/>
              </w:rPr>
              <w:t xml:space="preserve">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a</w:t>
            </w:r>
            <w:r w:rsidR="00DB2F10" w:rsidRPr="00BB3BC9">
              <w:rPr>
                <w:rFonts w:ascii="Arial" w:hAnsi="Arial" w:cs="Arial"/>
                <w:snapToGrid w:val="0"/>
                <w:sz w:val="22"/>
                <w:szCs w:val="22"/>
                <w:lang w:eastAsia="zh-CN" w:bidi="ar"/>
              </w:rPr>
              <w:t> </w:t>
            </w:r>
            <w:r w:rsidR="00AB53F1" w:rsidRPr="00BB3BC9">
              <w:rPr>
                <w:rFonts w:ascii="Arial" w:hAnsi="Arial" w:cs="Arial"/>
                <w:snapToGrid w:val="0"/>
                <w:sz w:val="22"/>
                <w:szCs w:val="22"/>
                <w:lang w:eastAsia="zh-CN" w:bidi="ar"/>
              </w:rPr>
              <w:t xml:space="preserve">dosaženou </w:t>
            </w:r>
            <w:r w:rsidR="009132E6" w:rsidRPr="00BB3BC9">
              <w:rPr>
                <w:rFonts w:ascii="Arial" w:hAnsi="Arial" w:cs="Arial"/>
                <w:snapToGrid w:val="0"/>
                <w:sz w:val="22"/>
                <w:szCs w:val="22"/>
                <w:lang w:eastAsia="zh-CN" w:bidi="ar"/>
              </w:rPr>
              <w:t>hodnotu indikátoru</w:t>
            </w:r>
            <w:r w:rsidR="00925C6E" w:rsidRPr="00BB3BC9">
              <w:rPr>
                <w:rFonts w:ascii="Arial" w:hAnsi="Arial" w:cs="Arial"/>
                <w:snapToGrid w:val="0"/>
                <w:sz w:val="22"/>
                <w:szCs w:val="22"/>
                <w:lang w:eastAsia="zh-CN" w:bidi="ar"/>
              </w:rPr>
              <w:t xml:space="preserve"> k Rozhodnému datu</w:t>
            </w:r>
            <w:r w:rsidRPr="00BB3BC9">
              <w:rPr>
                <w:rFonts w:ascii="Arial" w:hAnsi="Arial" w:cs="Arial"/>
                <w:snapToGrid w:val="0"/>
                <w:sz w:val="22"/>
                <w:szCs w:val="22"/>
                <w:lang w:eastAsia="zh-CN" w:bidi="ar"/>
              </w:rPr>
              <w:t>.</w:t>
            </w:r>
          </w:p>
          <w:p w14:paraId="55C40FDA" w14:textId="5830E894"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B3BC9">
              <w:rPr>
                <w:rFonts w:ascii="Arial" w:hAnsi="Arial" w:cs="Arial"/>
                <w:snapToGrid w:val="0"/>
                <w:sz w:val="22"/>
                <w:szCs w:val="22"/>
                <w:lang w:eastAsia="zh-CN" w:bidi="ar"/>
              </w:rPr>
              <w:t>V ostatních případech bude stanovena finanční oprava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a </w:t>
            </w:r>
            <w:r w:rsidR="009132E6" w:rsidRPr="00BB3BC9">
              <w:rPr>
                <w:rFonts w:ascii="Arial" w:hAnsi="Arial" w:cs="Arial"/>
                <w:snapToGrid w:val="0"/>
                <w:sz w:val="22"/>
                <w:szCs w:val="22"/>
                <w:lang w:eastAsia="zh-CN" w:bidi="ar"/>
              </w:rPr>
              <w:t>minimální hranic</w:t>
            </w:r>
            <w:r w:rsidR="00925C6E" w:rsidRPr="00BB3BC9">
              <w:rPr>
                <w:rFonts w:ascii="Arial" w:hAnsi="Arial" w:cs="Arial"/>
                <w:snapToGrid w:val="0"/>
                <w:sz w:val="22"/>
                <w:szCs w:val="22"/>
                <w:lang w:eastAsia="zh-CN" w:bidi="ar"/>
              </w:rPr>
              <w:t>i</w:t>
            </w:r>
            <w:r w:rsidR="009132E6" w:rsidRPr="00BB3BC9">
              <w:rPr>
                <w:rFonts w:ascii="Arial" w:hAnsi="Arial" w:cs="Arial"/>
                <w:snapToGrid w:val="0"/>
                <w:sz w:val="22"/>
                <w:szCs w:val="22"/>
                <w:lang w:eastAsia="zh-CN" w:bidi="ar"/>
              </w:rPr>
              <w:t xml:space="preserve">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w:t>
            </w:r>
            <w:r w:rsidR="00DB2F10" w:rsidRPr="00BB3BC9">
              <w:rPr>
                <w:rFonts w:ascii="Arial" w:hAnsi="Arial" w:cs="Arial"/>
                <w:snapToGrid w:val="0"/>
                <w:sz w:val="22"/>
                <w:szCs w:val="22"/>
                <w:lang w:eastAsia="zh-CN" w:bidi="ar"/>
              </w:rPr>
              <w:t>ě</w:t>
            </w:r>
            <w:r w:rsidRPr="00BB3BC9">
              <w:rPr>
                <w:rFonts w:ascii="Arial" w:hAnsi="Arial" w:cs="Arial"/>
                <w:snapToGrid w:val="0"/>
                <w:sz w:val="22"/>
                <w:szCs w:val="22"/>
                <w:lang w:eastAsia="zh-CN" w:bidi="ar"/>
              </w:rPr>
              <w:t>, kdy nedojde k udržení u</w:t>
            </w:r>
            <w:r w:rsidR="00156CDA"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indikátoru:</w:t>
            </w:r>
            <w:r w:rsidR="009132E6" w:rsidRPr="00BB3BC9">
              <w:rPr>
                <w:rFonts w:ascii="Arial" w:hAnsi="Arial" w:cs="Arial"/>
                <w:snapToGrid w:val="0"/>
                <w:sz w:val="22"/>
                <w:szCs w:val="22"/>
                <w:lang w:eastAsia="zh-CN" w:bidi="ar"/>
              </w:rPr>
              <w:t xml:space="preserve"> </w:t>
            </w:r>
          </w:p>
          <w:p w14:paraId="1FBA0524" w14:textId="7777777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3E640979" w14:textId="31A59C5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hAnsi="Arial" w:cs="Arial"/>
                <w:snapToGrid w:val="0"/>
                <w:sz w:val="22"/>
                <w:szCs w:val="22"/>
                <w:lang w:eastAsia="zh-CN" w:bidi="ar"/>
              </w:rPr>
              <w:t xml:space="preserve"> na 70 % cílové hodnoty</w:t>
            </w:r>
            <w:r w:rsidR="00DB2F10" w:rsidRPr="00BB3BC9">
              <w:rPr>
                <w:rFonts w:ascii="Arial" w:hAnsi="Arial" w:cs="Arial"/>
                <w:snapToGrid w:val="0"/>
                <w:sz w:val="22"/>
                <w:szCs w:val="22"/>
                <w:lang w:eastAsia="zh-CN" w:bidi="ar"/>
              </w:rPr>
              <w:t xml:space="preserve"> a více</w:t>
            </w:r>
            <w:r w:rsidRPr="00BB3BC9">
              <w:rPr>
                <w:rFonts w:ascii="Arial" w:hAnsi="Arial" w:cs="Arial"/>
                <w:snapToGrid w:val="0"/>
                <w:sz w:val="22"/>
                <w:szCs w:val="22"/>
                <w:lang w:eastAsia="zh-CN" w:bidi="ar"/>
              </w:rPr>
              <w:t>.</w:t>
            </w:r>
          </w:p>
          <w:p w14:paraId="04411878" w14:textId="3CEA2614" w:rsidR="009132E6" w:rsidRPr="00BB3BC9"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w:t>
            </w:r>
            <w:r w:rsidRPr="00BB3BC9">
              <w:rPr>
                <w:rFonts w:ascii="Arial" w:hAnsi="Arial" w:cs="Arial"/>
                <w:sz w:val="22"/>
                <w:szCs w:val="22"/>
                <w:lang w:eastAsia="zh-CN" w:bidi="ar"/>
              </w:rPr>
              <w:t>délka doby, po kterou příjemce indikátory neudržel.</w:t>
            </w:r>
            <w:r w:rsidRPr="00BB3BC9">
              <w:rPr>
                <w:rFonts w:ascii="Arial" w:hAnsi="Arial" w:cs="Arial"/>
                <w:sz w:val="22"/>
                <w:szCs w:val="22"/>
              </w:rPr>
              <w:t xml:space="preserve"> </w:t>
            </w:r>
          </w:p>
          <w:p w14:paraId="50547215" w14:textId="6DDC11E5" w:rsidR="009132E6" w:rsidRPr="00BB3BC9" w:rsidRDefault="009132E6" w:rsidP="0042247B">
            <w:pPr>
              <w:spacing w:before="120" w:after="120" w:line="271" w:lineRule="auto"/>
              <w:jc w:val="both"/>
              <w:rPr>
                <w:rFonts w:ascii="Arial" w:hAnsi="Arial" w:cs="Arial"/>
                <w:snapToGrid w:val="0"/>
                <w:sz w:val="22"/>
                <w:szCs w:val="22"/>
              </w:rPr>
            </w:pPr>
            <w:r w:rsidRPr="00BB3BC9">
              <w:rPr>
                <w:rFonts w:ascii="Arial" w:hAnsi="Arial" w:cs="Arial"/>
                <w:snapToGrid w:val="0"/>
                <w:sz w:val="22"/>
                <w:szCs w:val="22"/>
              </w:rPr>
              <w:t>V případě indikátorů (</w:t>
            </w:r>
            <w:r w:rsidR="00277403" w:rsidRPr="00BB3BC9">
              <w:rPr>
                <w:rFonts w:ascii="Arial" w:hAnsi="Arial" w:cs="Arial"/>
                <w:i/>
                <w:iCs/>
                <w:snapToGrid w:val="0"/>
                <w:sz w:val="22"/>
                <w:szCs w:val="22"/>
              </w:rPr>
              <w:t>IV.</w:t>
            </w:r>
            <w:r w:rsidRPr="00BB3BC9">
              <w:rPr>
                <w:rFonts w:ascii="Arial" w:hAnsi="Arial" w:cs="Arial"/>
                <w:snapToGrid w:val="0"/>
                <w:sz w:val="22"/>
                <w:szCs w:val="22"/>
              </w:rPr>
              <w:t>) naplňovaných za 1.</w:t>
            </w:r>
            <w:r w:rsidR="00AB53F1" w:rsidRPr="00BB3BC9">
              <w:rPr>
                <w:rFonts w:ascii="Arial" w:hAnsi="Arial" w:cs="Arial"/>
                <w:snapToGrid w:val="0"/>
                <w:sz w:val="22"/>
                <w:szCs w:val="22"/>
              </w:rPr>
              <w:t> </w:t>
            </w:r>
            <w:r w:rsidRPr="00BB3BC9">
              <w:rPr>
                <w:rFonts w:ascii="Arial" w:hAnsi="Arial" w:cs="Arial"/>
                <w:snapToGrid w:val="0"/>
                <w:sz w:val="22"/>
                <w:szCs w:val="22"/>
              </w:rPr>
              <w:t>rok udržitelnosti je jejich udržení zkoumáno až od 2. roku udržitelnosti</w:t>
            </w:r>
            <w:r w:rsidR="009B58A6" w:rsidRPr="00BB3BC9">
              <w:rPr>
                <w:rFonts w:ascii="Arial" w:hAnsi="Arial" w:cs="Arial"/>
                <w:snapToGrid w:val="0"/>
                <w:sz w:val="22"/>
                <w:szCs w:val="22"/>
              </w:rPr>
              <w:t xml:space="preserve"> a je postupováno vždy dle bodu b)</w:t>
            </w:r>
            <w:r w:rsidRPr="00BB3BC9">
              <w:rPr>
                <w:rFonts w:ascii="Arial" w:hAnsi="Arial" w:cs="Arial"/>
                <w:snapToGrid w:val="0"/>
                <w:sz w:val="22"/>
                <w:szCs w:val="22"/>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B3BC9">
              <w:rPr>
                <w:rFonts w:ascii="Arial" w:hAnsi="Arial" w:cs="Arial"/>
                <w:snapToGrid w:val="0"/>
                <w:sz w:val="22"/>
                <w:szCs w:val="22"/>
              </w:rPr>
              <w:t>Udržování vyšší</w:t>
            </w:r>
            <w:r w:rsidR="00263F6E" w:rsidRPr="00BB3BC9">
              <w:rPr>
                <w:rStyle w:val="Znakapoznpodarou"/>
                <w:rFonts w:ascii="Arial" w:hAnsi="Arial" w:cs="Arial"/>
                <w:snapToGrid w:val="0"/>
                <w:sz w:val="22"/>
                <w:szCs w:val="22"/>
              </w:rPr>
              <w:footnoteReference w:id="17"/>
            </w:r>
            <w:r w:rsidRPr="00BB3BC9">
              <w:rPr>
                <w:rFonts w:ascii="Arial" w:hAnsi="Arial" w:cs="Arial"/>
                <w:snapToGrid w:val="0"/>
                <w:sz w:val="22"/>
                <w:szCs w:val="22"/>
              </w:rPr>
              <w:t xml:space="preserve"> než cílové hodnoty či další zlepšení dosažené hodnoty</w:t>
            </w:r>
            <w:r w:rsidR="00925C6E" w:rsidRPr="00BB3BC9">
              <w:rPr>
                <w:rFonts w:ascii="Arial" w:hAnsi="Arial" w:cs="Arial"/>
                <w:snapToGrid w:val="0"/>
                <w:sz w:val="22"/>
                <w:szCs w:val="22"/>
              </w:rPr>
              <w:t xml:space="preserve"> k Rozhodnému</w:t>
            </w:r>
            <w:r w:rsidR="00925C6E">
              <w:rPr>
                <w:rFonts w:ascii="Arial" w:hAnsi="Arial" w:cs="Arial"/>
                <w:snapToGrid w:val="0"/>
                <w:sz w:val="22"/>
                <w:szCs w:val="22"/>
              </w:rPr>
              <w:t xml:space="preserve">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7E40">
        <w:rPr>
          <w:rFonts w:ascii="Arial" w:hAnsi="Arial" w:cs="Arial"/>
          <w:b/>
          <w:i/>
          <w:snapToGrid w:val="0"/>
          <w:sz w:val="22"/>
          <w:szCs w:val="22"/>
        </w:rPr>
        <w:t>Veřejná podpora</w:t>
      </w:r>
    </w:p>
    <w:p w14:paraId="46F7F521" w14:textId="77777777" w:rsidR="00BF7E40" w:rsidRPr="00BF7E40" w:rsidRDefault="00BF7E40" w:rsidP="008D6334">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BF7E40">
        <w:rPr>
          <w:rFonts w:ascii="Arial" w:hAnsi="Arial" w:cs="Arial"/>
          <w:snapToGrid w:val="0"/>
          <w:sz w:val="22"/>
          <w:szCs w:val="22"/>
        </w:rPr>
        <w:t>Dotace je udělena v souladu s nařízením Komise (EU) č. 651/2014</w:t>
      </w:r>
      <w:r w:rsidRPr="00BF7E40">
        <w:rPr>
          <w:rFonts w:ascii="Arial" w:hAnsi="Arial" w:cs="Arial"/>
          <w:snapToGrid w:val="0"/>
          <w:sz w:val="22"/>
          <w:szCs w:val="22"/>
        </w:rPr>
        <w:footnoteReference w:id="19"/>
      </w:r>
      <w:r w:rsidRPr="00BF7E40">
        <w:rPr>
          <w:rFonts w:ascii="Arial" w:hAnsi="Arial" w:cs="Arial"/>
          <w:snapToGrid w:val="0"/>
          <w:sz w:val="22"/>
          <w:szCs w:val="22"/>
        </w:rPr>
        <w:t xml:space="preserve"> ze dne 17. června 2014, kterým se v souladu s články 107 a 108 Smlouvy prohlašují určité kategorie podpory za slučitelné s vnitřním trhem, ve znění Nařízení Komise (EU) č. 2017/1084.</w:t>
      </w:r>
    </w:p>
    <w:p w14:paraId="1E55643B" w14:textId="77777777" w:rsid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C00309B" w:rsidR="009132E6" w:rsidRP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2FF0BDC4" w14:textId="6882D6DB" w:rsidR="009132E6" w:rsidRPr="00576BDF" w:rsidRDefault="009132E6" w:rsidP="00D275E1">
      <w:pPr>
        <w:numPr>
          <w:ilvl w:val="0"/>
          <w:numId w:val="14"/>
        </w:numPr>
        <w:spacing w:before="120" w:after="120" w:line="23" w:lineRule="atLeast"/>
        <w:ind w:left="357" w:hanging="357"/>
        <w:jc w:val="both"/>
        <w:rPr>
          <w:rFonts w:ascii="Arial" w:hAnsi="Arial" w:cs="Arial"/>
          <w:snapToGrid w:val="0"/>
          <w:sz w:val="22"/>
          <w:szCs w:val="22"/>
        </w:rPr>
      </w:pPr>
      <w:r w:rsidRPr="00576BDF">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02F9B" w14:textId="77777777" w:rsidR="00203C48" w:rsidRDefault="00203C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5D7DC" w14:textId="77777777" w:rsidR="00203C48" w:rsidRDefault="00203C4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463001"/>
      <w:docPartObj>
        <w:docPartGallery w:val="Page Numbers (Bottom of Page)"/>
        <w:docPartUnique/>
      </w:docPartObj>
    </w:sdtPr>
    <w:sdtContent>
      <w:p w14:paraId="62B1B139" w14:textId="5AF8B924" w:rsidR="00203C48" w:rsidRDefault="00203C48">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64B89A9" w14:textId="77777777" w:rsidR="00BF7E40" w:rsidRDefault="00BF7E40" w:rsidP="00BF7E40">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2A5F" w14:textId="77777777" w:rsidR="00203C48" w:rsidRDefault="00203C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690C" w14:textId="77777777" w:rsidR="00203C48" w:rsidRDefault="00203C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7"/>
  </w:num>
  <w:num w:numId="5">
    <w:abstractNumId w:val="12"/>
  </w:num>
  <w:num w:numId="6">
    <w:abstractNumId w:val="19"/>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5"/>
  </w:num>
  <w:num w:numId="14">
    <w:abstractNumId w:val="31"/>
  </w:num>
  <w:num w:numId="15">
    <w:abstractNumId w:val="13"/>
  </w:num>
  <w:num w:numId="16">
    <w:abstractNumId w:val="22"/>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20"/>
  </w:num>
  <w:num w:numId="36">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C48"/>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48"/>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05D"/>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6BDF"/>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334"/>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3BC9"/>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E40"/>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BF7E40"/>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8.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3716</Words>
  <Characters>21261</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9</cp:revision>
  <cp:lastPrinted>2022-07-27T10:25:00Z</cp:lastPrinted>
  <dcterms:created xsi:type="dcterms:W3CDTF">2022-09-22T10:26:00Z</dcterms:created>
  <dcterms:modified xsi:type="dcterms:W3CDTF">2022-10-05T13:04:00Z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